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478" w:rsidRPr="00787BF1" w:rsidRDefault="003D4478" w:rsidP="003D4478">
      <w:pPr>
        <w:pStyle w:val="Heading2"/>
      </w:pPr>
      <w:bookmarkStart w:id="0" w:name="_Toc155342958"/>
      <w:bookmarkStart w:id="1" w:name="_GoBack"/>
      <w:r w:rsidRPr="00787BF1">
        <w:rPr>
          <w:b/>
          <w:sz w:val="24"/>
        </w:rPr>
        <w:t>280. TRÁCH NHIỆM LAO ĐỘNG</w:t>
      </w:r>
      <w:bookmarkEnd w:id="1"/>
      <w:r w:rsidRPr="00787BF1">
        <w:rPr>
          <w:bCs/>
        </w:rPr>
        <w:t>,</w:t>
      </w:r>
      <w:r w:rsidRPr="00787BF1">
        <w:rPr>
          <w:b/>
          <w:bCs/>
        </w:rPr>
        <w:t xml:space="preserve"> </w:t>
      </w:r>
      <w:r w:rsidRPr="00787BF1">
        <w:t>trách nhiệm pháp lý của người lao động phải bồi thường thiệt hại về tài sản cho người sử dụng lao động do đã gây thiệt hại trong quá trình thực hiện quyền và nghĩa vụ lao động.</w:t>
      </w:r>
      <w:bookmarkEnd w:id="0"/>
    </w:p>
    <w:p w:rsidR="003D4478" w:rsidRPr="00787BF1" w:rsidRDefault="003D4478" w:rsidP="003D4478">
      <w:pPr>
        <w:widowControl w:val="0"/>
        <w:spacing w:before="120"/>
        <w:ind w:firstLine="284"/>
        <w:jc w:val="both"/>
        <w:rPr>
          <w:szCs w:val="28"/>
        </w:rPr>
      </w:pPr>
      <w:r w:rsidRPr="00787BF1">
        <w:rPr>
          <w:szCs w:val="28"/>
        </w:rPr>
        <w:t>Trong khoa học pháp lý, trách nhiệm vật chất còn có thể hiểu theo nghĩa rộng hơn, là loại trách nhiệm phải thực hiện bằng tài sản của người vi phạm. Theo nghĩa này, trách nhiệm dân sự và một phần nội dung của trách nhiệm hình sự, trách nhiệm hành chính cũng được hiểu là trách nhiệm vật chất theo pháp luật lao động.</w:t>
      </w:r>
    </w:p>
    <w:p w:rsidR="003D4478" w:rsidRPr="00787BF1" w:rsidRDefault="003D4478" w:rsidP="003D4478">
      <w:pPr>
        <w:widowControl w:val="0"/>
        <w:spacing w:before="120"/>
        <w:ind w:firstLine="284"/>
        <w:jc w:val="both"/>
        <w:rPr>
          <w:szCs w:val="28"/>
        </w:rPr>
      </w:pPr>
      <w:r w:rsidRPr="00787BF1">
        <w:rPr>
          <w:szCs w:val="28"/>
        </w:rPr>
        <w:t>Trong lĩnh vực luật lao động, khi còn duy trì nền kinh tế kế hoạch hoá tập trung, trách nhiệm vật chất được quy định chung cho công nhân, viên chức trong các cơ quan, doanh nghiệp nhà nước. Hiện nay, trách nhiệm vật chất được quy định khác nhau đối với cán bộ, công chức, viên chức nhà nước và người lao động làm công. Nếu người lao động làm công gây thiệt hại tài sản cho người sử dụng lao động, có lỗi thì phải bồi thường theo quy định của pháp luật, theo hợp đồng trách nhiệm (nếu có) hoặc theo thoả thuận giữa các bên khi thiệt hại xảy ra. Riêng trường hợp thiệt hại không nghiêm trọng, do lỗi vô ý thì pháp luật khống chế mức bồi thường tối đa là ba tháng lương của người lao động (nhưng không vượt quá mức thiệt hại thực tế); cách thực hiện bồi thường thì theo hình thức trừ dần tiền lương hàng tháng, mỗi tháng không quá 30% lương, trừ trường hợp người lao động thoả thuận bồi thường nhiều hơn.</w:t>
      </w:r>
    </w:p>
    <w:p w:rsidR="003D4478" w:rsidRPr="00787BF1" w:rsidRDefault="003D4478" w:rsidP="003D4478">
      <w:pPr>
        <w:widowControl w:val="0"/>
        <w:spacing w:before="120"/>
        <w:ind w:firstLine="284"/>
        <w:jc w:val="both"/>
        <w:rPr>
          <w:szCs w:val="28"/>
        </w:rPr>
      </w:pPr>
      <w:r w:rsidRPr="00787BF1">
        <w:rPr>
          <w:szCs w:val="28"/>
        </w:rPr>
        <w:t>Trách nhiệm vật chất của cán bộ, công chức nhà nước được thực hiện theo pháp luật về cán bộ, công chức.</w:t>
      </w:r>
    </w:p>
    <w:p w:rsidR="003D4478" w:rsidRPr="00787BF1" w:rsidRDefault="003D4478" w:rsidP="003D4478">
      <w:pPr>
        <w:widowControl w:val="0"/>
        <w:spacing w:before="120"/>
        <w:ind w:firstLine="284"/>
        <w:jc w:val="both"/>
        <w:rPr>
          <w:szCs w:val="28"/>
        </w:rPr>
      </w:pPr>
      <w:r w:rsidRPr="00787BF1">
        <w:rPr>
          <w:szCs w:val="28"/>
        </w:rPr>
        <w:t>Trường hợp hành vi vi phạm kỷ luật của người lao động gây thiệt hại về tài sản cho người sử dụng lao động thì ngoài việc bị áp dụng trách nhiệm kỷ luật, người lao động còn phải có trách nhiệm bồi thường thiệt hại về tài sản cho người sử dụng lao động. Việc bồi thường những thiệt hại về tài sản cho người sử dụng lao động do hành vi vi phạm kỷ luật lao động của người lao động gây ra được gọi là trách nhiệm vật chất trong luật lao động.</w:t>
      </w:r>
    </w:p>
    <w:p w:rsidR="003D4478" w:rsidRPr="00787BF1" w:rsidRDefault="003D4478" w:rsidP="003D4478">
      <w:pPr>
        <w:widowControl w:val="0"/>
        <w:spacing w:before="120"/>
        <w:ind w:firstLine="284"/>
        <w:jc w:val="both"/>
        <w:rPr>
          <w:szCs w:val="28"/>
        </w:rPr>
      </w:pPr>
      <w:r w:rsidRPr="00787BF1">
        <w:rPr>
          <w:szCs w:val="28"/>
        </w:rPr>
        <w:t xml:space="preserve">Như vậy, trách nhiệm vật chất trong luật lao động được hiểu là trách nhiệm pháp lý do người sử dụng lao động áp dụng đối với người lao động bằng cách bắt họ phải bồi thường những thiệt hại về tài sản do hành vi vi phạm kỷ luật lao động gây ra. </w:t>
      </w:r>
    </w:p>
    <w:p w:rsidR="003D4478" w:rsidRPr="00787BF1" w:rsidRDefault="003D4478" w:rsidP="003D4478">
      <w:pPr>
        <w:widowControl w:val="0"/>
        <w:spacing w:before="120"/>
        <w:ind w:firstLine="284"/>
        <w:jc w:val="both"/>
        <w:rPr>
          <w:szCs w:val="28"/>
        </w:rPr>
      </w:pPr>
      <w:r w:rsidRPr="00787BF1">
        <w:rPr>
          <w:szCs w:val="28"/>
        </w:rPr>
        <w:t>Việc buộc người lao động phải bồi thường những thiệt hại về tài sản do hành vi vi phạm kỷ luật không chỉ nhằm đảm bảo quyền sở hữu của người sử dụng lao động mà còn góp phần vào việc đảm bảo và tăng cường kỷ luật trong các đơn vị sử dụng lao động. Đồng thời, nó còn nâng cao ý thức của người lao động trong việc chấp hành kỷ luật, buộc người lao động phải tuân thủ các quy định về kỷ luật lao động mà người sử dụng lao động đã đề ra.</w:t>
      </w:r>
    </w:p>
    <w:p w:rsidR="003D4478" w:rsidRPr="00787BF1" w:rsidRDefault="003D4478" w:rsidP="003D4478">
      <w:pPr>
        <w:widowControl w:val="0"/>
        <w:spacing w:before="120"/>
        <w:ind w:firstLine="284"/>
        <w:jc w:val="both"/>
        <w:rPr>
          <w:szCs w:val="28"/>
        </w:rPr>
      </w:pPr>
      <w:r w:rsidRPr="00787BF1">
        <w:rPr>
          <w:szCs w:val="28"/>
        </w:rPr>
        <w:t xml:space="preserve">Để áp dụng trách nhiệm vật chất đối với người lao động, người sử dụng lao động phải có những căn cứ nhất định. Đó là những điều kiện cần và đủ để người sử dụng lao động có thể áp dụng trách nhiệm vật chất đối với người lao động. Cũng như các loại trách nhiệm bồi thường khác, việc áp dụng trách nhiệm vật chất </w:t>
      </w:r>
      <w:r w:rsidRPr="00787BF1">
        <w:rPr>
          <w:szCs w:val="28"/>
        </w:rPr>
        <w:lastRenderedPageBreak/>
        <w:t>đối với người lao động cũng cần phải có 4 căn cứ: 1) Có hành vi vi phạm kỷ luật; 2) Có thiệt hại về tài sản cho người sử dụng lao động; 3) Có quan hệ nhân quả giữa hành vi vi phạm và thiệt hại xảy ra; Có lỗi của người vi phạm.</w:t>
      </w:r>
    </w:p>
    <w:p w:rsidR="003D4478" w:rsidRPr="00787BF1" w:rsidRDefault="003D4478" w:rsidP="003D4478">
      <w:pPr>
        <w:widowControl w:val="0"/>
        <w:spacing w:before="120"/>
        <w:ind w:firstLine="284"/>
        <w:jc w:val="both"/>
        <w:rPr>
          <w:szCs w:val="28"/>
        </w:rPr>
      </w:pPr>
      <w:r w:rsidRPr="00787BF1">
        <w:rPr>
          <w:szCs w:val="28"/>
        </w:rPr>
        <w:t>Trên thực tế, về mặt hình thức, tài sản bị thiệt hại có thể dưới dạng tài sản bị hư hỏng, bị mất mát hoặc tiêu hao vật tư vượt quá định mức cho phép. Vì vậy, khi xác định căn cứ này, người sử dụng lao động cần phải xác định một cách cụ thể tài sản bị thiệt hại là tài sản gì, hình thức thiệt hại ra sao, giá trị thiệt hại là bao nhiêu để làm căn cứ áp dụng trách nhiệm đối với người lao động.</w:t>
      </w:r>
    </w:p>
    <w:p w:rsidR="003D4478" w:rsidRPr="00787BF1" w:rsidRDefault="003D4478" w:rsidP="003D4478">
      <w:pPr>
        <w:widowControl w:val="0"/>
        <w:spacing w:before="120"/>
        <w:ind w:firstLine="284"/>
        <w:jc w:val="both"/>
        <w:rPr>
          <w:szCs w:val="28"/>
        </w:rPr>
      </w:pPr>
      <w:r w:rsidRPr="00787BF1">
        <w:rPr>
          <w:szCs w:val="28"/>
        </w:rPr>
        <w:t>Mặt khác, để áp dụng trách nhiệm vật chất đối với người lao động, người sử dụng lao động cũng phải chứng minh được mối quan hệ nhân quả giữa hành vi vi phạm và thiệt hại xảy ra. Hành vi vi phạm kỷ luật lao động là nguyên nhân dẫn đến thiệt hại xảy ra và thiệt hại xảy ra là kết quả tất yếu của hành vi vi phạm kỷ luật. Nếu không có mối quan hệ nhân quả này thì dù có đủ hai căn cứ là hành vi vi phạm kỷ luật và thiệt hại xảy ra, người lao động cũng sẽ không phải chịu trách nhiệm vật chất.</w:t>
      </w:r>
    </w:p>
    <w:p w:rsidR="003D4478" w:rsidRPr="00787BF1" w:rsidRDefault="003D4478" w:rsidP="003D4478">
      <w:pPr>
        <w:widowControl w:val="0"/>
        <w:spacing w:before="120"/>
        <w:ind w:firstLine="284"/>
        <w:jc w:val="both"/>
        <w:rPr>
          <w:szCs w:val="28"/>
        </w:rPr>
      </w:pPr>
      <w:r w:rsidRPr="00787BF1">
        <w:rPr>
          <w:szCs w:val="28"/>
        </w:rPr>
        <w:t>Lỗi cũng là một trong các căn cứ để áp dụng trách nhiệm vật chất đối với người lao động. Lỗi trong trách nhiệm vật chất được hiểu là thái độ tâm lý của người có hành vi vi phạm kỷ luật gây thiệt hại về tài sản cho người sử dụng lao động. Người lao động chỉ phải bồi thường trong trường hợp họ có lỗi trong việc gây thiệt hại về tài sản cho người sử dụng lao động. Trường hợp người lao động không có lỗi thì dù có đủ ba căn cứ trên, người lao động cũng không phải bồi thường thiệt hại cho người sử dụng lao động như trường hợp bất khả kháng, sự cố khách quan, thiên tai... Bốn căn cứ nêu trên là những điều kiện bắt buộc phải chứng minh khi người sử dụng lao động áp dụng trách nhiệm vật chất đối với người lao động. Ngoài ra trên thực tế, người sử dụng lao động cũng cần phải xem xét đến các yếu tố khác như khả năng, kinh nghiệm làm việc, hoàn cảnh gia đình, tài sản, ý thức thái độ của người lao động trước, trong và sau khi vi phạm cũng như quá trình làm việc của họ.</w:t>
      </w:r>
    </w:p>
    <w:p w:rsidR="003D4478" w:rsidRPr="00787BF1" w:rsidRDefault="003D4478" w:rsidP="003D4478">
      <w:pPr>
        <w:widowControl w:val="0"/>
        <w:spacing w:before="120"/>
        <w:ind w:firstLine="284"/>
        <w:jc w:val="both"/>
        <w:rPr>
          <w:szCs w:val="28"/>
        </w:rPr>
      </w:pPr>
      <w:r w:rsidRPr="00787BF1">
        <w:rPr>
          <w:szCs w:val="28"/>
        </w:rPr>
        <w:t>Việc xem xét, quyết định mức bồi thường thiệt hại phải căn cứ vào lỗi, mức thiệt hại thực tế và hoàn cảnh thực tế gia đình, nhân thân và tài sản của người sử dụng lao động.</w:t>
      </w:r>
    </w:p>
    <w:p w:rsidR="003D4478" w:rsidRPr="00787BF1" w:rsidRDefault="003D4478" w:rsidP="003D4478">
      <w:pPr>
        <w:spacing w:before="120"/>
        <w:ind w:firstLine="284"/>
        <w:jc w:val="right"/>
        <w:rPr>
          <w:sz w:val="22"/>
        </w:rPr>
      </w:pPr>
      <w:r w:rsidRPr="00787BF1">
        <w:rPr>
          <w:b/>
          <w:bCs/>
          <w:sz w:val="22"/>
        </w:rPr>
        <w:t>BÙI ANH THUỶ</w:t>
      </w:r>
    </w:p>
    <w:p w:rsidR="003D4478" w:rsidRPr="00787BF1" w:rsidRDefault="003D4478" w:rsidP="003D4478">
      <w:pPr>
        <w:spacing w:before="120"/>
        <w:ind w:firstLine="284"/>
        <w:rPr>
          <w:sz w:val="24"/>
          <w:szCs w:val="24"/>
        </w:rPr>
      </w:pPr>
      <w:r w:rsidRPr="00787BF1">
        <w:rPr>
          <w:b/>
          <w:bCs/>
          <w:sz w:val="24"/>
          <w:szCs w:val="24"/>
        </w:rPr>
        <w:t>Tài liệu tham khảo:</w:t>
      </w:r>
    </w:p>
    <w:p w:rsidR="003D4478" w:rsidRPr="00787BF1" w:rsidRDefault="003D4478" w:rsidP="003D4478">
      <w:pPr>
        <w:numPr>
          <w:ilvl w:val="0"/>
          <w:numId w:val="1"/>
        </w:numPr>
        <w:tabs>
          <w:tab w:val="clear" w:pos="720"/>
          <w:tab w:val="left" w:pos="567"/>
        </w:tabs>
        <w:spacing w:before="120"/>
        <w:ind w:left="0" w:firstLine="284"/>
        <w:jc w:val="both"/>
        <w:textAlignment w:val="baseline"/>
        <w:rPr>
          <w:sz w:val="24"/>
          <w:szCs w:val="24"/>
        </w:rPr>
      </w:pPr>
      <w:r w:rsidRPr="00787BF1">
        <w:rPr>
          <w:sz w:val="24"/>
          <w:szCs w:val="24"/>
        </w:rPr>
        <w:t xml:space="preserve">Trường Đại học Luật Hà Nội, Nguyễn Hữu Chí và Trần Thị Thuý Lâm </w:t>
      </w:r>
      <w:r>
        <w:rPr>
          <w:sz w:val="24"/>
          <w:szCs w:val="24"/>
        </w:rPr>
        <w:t>(chủ biên)</w:t>
      </w:r>
      <w:r w:rsidRPr="00787BF1">
        <w:rPr>
          <w:sz w:val="24"/>
          <w:szCs w:val="24"/>
        </w:rPr>
        <w:t xml:space="preserve">, </w:t>
      </w:r>
      <w:r w:rsidRPr="00787BF1">
        <w:rPr>
          <w:i/>
          <w:iCs/>
          <w:sz w:val="24"/>
          <w:szCs w:val="24"/>
        </w:rPr>
        <w:t>Giáo trình Luật lao động Việt Nam</w:t>
      </w:r>
      <w:r w:rsidRPr="00787BF1">
        <w:rPr>
          <w:sz w:val="24"/>
          <w:szCs w:val="24"/>
        </w:rPr>
        <w:t>, Tập 1, 2,</w:t>
      </w:r>
      <w:r>
        <w:rPr>
          <w:sz w:val="24"/>
          <w:szCs w:val="24"/>
        </w:rPr>
        <w:t xml:space="preserve"> Nxb. Công an nhân dân</w:t>
      </w:r>
      <w:r w:rsidRPr="00787BF1">
        <w:rPr>
          <w:sz w:val="24"/>
          <w:szCs w:val="24"/>
        </w:rPr>
        <w:t>, Hà Nội, 2020.</w:t>
      </w:r>
    </w:p>
    <w:p w:rsidR="003D4478" w:rsidRPr="00787BF1" w:rsidRDefault="003D4478" w:rsidP="003D4478">
      <w:pPr>
        <w:numPr>
          <w:ilvl w:val="0"/>
          <w:numId w:val="1"/>
        </w:numPr>
        <w:tabs>
          <w:tab w:val="clear" w:pos="720"/>
          <w:tab w:val="left" w:pos="567"/>
        </w:tabs>
        <w:spacing w:before="120"/>
        <w:ind w:left="0" w:firstLine="284"/>
        <w:jc w:val="both"/>
        <w:textAlignment w:val="baseline"/>
        <w:rPr>
          <w:sz w:val="24"/>
          <w:szCs w:val="24"/>
        </w:rPr>
      </w:pPr>
      <w:r w:rsidRPr="00787BF1">
        <w:rPr>
          <w:sz w:val="24"/>
          <w:szCs w:val="24"/>
        </w:rPr>
        <w:t xml:space="preserve">Trường Đại học Kinh tế quốc dân, </w:t>
      </w:r>
      <w:r w:rsidRPr="00787BF1">
        <w:rPr>
          <w:i/>
          <w:iCs/>
          <w:sz w:val="24"/>
          <w:szCs w:val="24"/>
        </w:rPr>
        <w:t>Giáo trình Luật lao động</w:t>
      </w:r>
      <w:r w:rsidRPr="00787BF1">
        <w:rPr>
          <w:sz w:val="24"/>
          <w:szCs w:val="24"/>
        </w:rPr>
        <w:t>, Nxb. Đại học Kinh tế quốc dân, Hà Nội, 2011.</w:t>
      </w:r>
    </w:p>
    <w:p w:rsidR="003D4478" w:rsidRPr="00787BF1" w:rsidRDefault="003D4478" w:rsidP="003D4478">
      <w:pPr>
        <w:numPr>
          <w:ilvl w:val="0"/>
          <w:numId w:val="1"/>
        </w:numPr>
        <w:tabs>
          <w:tab w:val="clear" w:pos="720"/>
          <w:tab w:val="left" w:pos="567"/>
        </w:tabs>
        <w:spacing w:before="120"/>
        <w:ind w:left="0" w:firstLine="284"/>
        <w:jc w:val="both"/>
        <w:textAlignment w:val="baseline"/>
        <w:rPr>
          <w:sz w:val="24"/>
          <w:szCs w:val="24"/>
        </w:rPr>
      </w:pPr>
      <w:r w:rsidRPr="00787BF1">
        <w:rPr>
          <w:sz w:val="24"/>
          <w:szCs w:val="24"/>
        </w:rPr>
        <w:t xml:space="preserve">Khoa Luật, Đại học Quốc gia Hà Nội, </w:t>
      </w:r>
      <w:r w:rsidRPr="00787BF1">
        <w:rPr>
          <w:i/>
          <w:iCs/>
          <w:sz w:val="24"/>
          <w:szCs w:val="24"/>
        </w:rPr>
        <w:t>Giáo trình Luật Lao động Việt Nam</w:t>
      </w:r>
      <w:r w:rsidRPr="00787BF1">
        <w:rPr>
          <w:sz w:val="24"/>
          <w:szCs w:val="24"/>
        </w:rPr>
        <w:t>, Nxb. Đại học Quốc gia Hà Nội, Hà Nội, 2009.</w:t>
      </w:r>
      <w:r w:rsidRPr="00787BF1">
        <w:rPr>
          <w:b/>
          <w:bCs/>
          <w:sz w:val="24"/>
          <w:szCs w:val="24"/>
        </w:rPr>
        <w:t> </w:t>
      </w:r>
    </w:p>
    <w:p w:rsidR="003D4478" w:rsidRPr="00787BF1" w:rsidRDefault="003D4478" w:rsidP="003D4478">
      <w:pPr>
        <w:numPr>
          <w:ilvl w:val="0"/>
          <w:numId w:val="1"/>
        </w:numPr>
        <w:tabs>
          <w:tab w:val="clear" w:pos="720"/>
          <w:tab w:val="left" w:pos="567"/>
        </w:tabs>
        <w:spacing w:before="120"/>
        <w:ind w:left="0" w:firstLine="284"/>
        <w:jc w:val="both"/>
        <w:textAlignment w:val="baseline"/>
        <w:rPr>
          <w:sz w:val="24"/>
          <w:szCs w:val="24"/>
        </w:rPr>
      </w:pPr>
      <w:r w:rsidRPr="00787BF1">
        <w:rPr>
          <w:sz w:val="24"/>
          <w:szCs w:val="24"/>
        </w:rPr>
        <w:t xml:space="preserve">Nguyễn Hữu Chí </w:t>
      </w:r>
      <w:r>
        <w:rPr>
          <w:sz w:val="24"/>
          <w:szCs w:val="24"/>
        </w:rPr>
        <w:t>(chủ biên)</w:t>
      </w:r>
      <w:r w:rsidRPr="00787BF1">
        <w:rPr>
          <w:sz w:val="24"/>
          <w:szCs w:val="24"/>
        </w:rPr>
        <w:t xml:space="preserve">, Đỗ Gia Thắng, </w:t>
      </w:r>
      <w:r w:rsidRPr="00787BF1">
        <w:rPr>
          <w:i/>
          <w:iCs/>
          <w:sz w:val="24"/>
          <w:szCs w:val="24"/>
        </w:rPr>
        <w:t>Chế độ bồi thường trong Luật lao động Việt Nam</w:t>
      </w:r>
      <w:r w:rsidRPr="00787BF1">
        <w:rPr>
          <w:sz w:val="24"/>
          <w:szCs w:val="24"/>
        </w:rPr>
        <w:t>, Nxb. Tư pháp, Hà Nội, 2006.</w:t>
      </w:r>
    </w:p>
    <w:p w:rsidR="003D4478" w:rsidRPr="00787BF1" w:rsidRDefault="003D4478" w:rsidP="003D4478">
      <w:pPr>
        <w:numPr>
          <w:ilvl w:val="0"/>
          <w:numId w:val="1"/>
        </w:numPr>
        <w:tabs>
          <w:tab w:val="clear" w:pos="720"/>
          <w:tab w:val="left" w:pos="567"/>
        </w:tabs>
        <w:spacing w:before="120"/>
        <w:ind w:left="0" w:firstLine="284"/>
        <w:jc w:val="both"/>
        <w:textAlignment w:val="baseline"/>
        <w:rPr>
          <w:sz w:val="24"/>
          <w:szCs w:val="24"/>
        </w:rPr>
      </w:pPr>
      <w:r w:rsidRPr="00787BF1">
        <w:rPr>
          <w:sz w:val="24"/>
          <w:szCs w:val="24"/>
        </w:rPr>
        <w:lastRenderedPageBreak/>
        <w:t>Trần Thị Thúy Lâm,</w:t>
      </w:r>
      <w:r w:rsidRPr="00787BF1">
        <w:rPr>
          <w:i/>
          <w:iCs/>
          <w:sz w:val="24"/>
          <w:szCs w:val="24"/>
        </w:rPr>
        <w:t xml:space="preserve"> Khái niệm và bản chất pháp lý của kỷ luật lao động</w:t>
      </w:r>
      <w:r w:rsidRPr="00787BF1">
        <w:rPr>
          <w:sz w:val="24"/>
          <w:szCs w:val="24"/>
        </w:rPr>
        <w:t>, Tạp chí Luật học, số 9/2006.</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B061A"/>
    <w:multiLevelType w:val="multilevel"/>
    <w:tmpl w:val="73BA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78"/>
    <w:rsid w:val="001324E1"/>
    <w:rsid w:val="003D4478"/>
    <w:rsid w:val="005630BE"/>
    <w:rsid w:val="00666C5C"/>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06D70-0F1A-4E37-8633-658CE425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478"/>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3D4478"/>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3D4478"/>
    <w:rPr>
      <w:rFonts w:eastAsia="Calibri"/>
      <w:b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2025-12-15T04:54:00Z</dcterms:created>
  <dcterms:modified xsi:type="dcterms:W3CDTF">2025-12-15T04:54:00Z</dcterms:modified>
</cp:coreProperties>
</file>